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b/>
          <w:bCs/>
          <w:sz w:val="32"/>
          <w:szCs w:val="32"/>
        </w:rPr>
      </w:pPr>
      <w:r>
        <w:rPr>
          <w:rFonts w:ascii="Arial" w:hAnsi="Arial"/>
          <w:b/>
          <w:bCs/>
          <w:sz w:val="32"/>
          <w:szCs w:val="32"/>
        </w:rPr>
        <w:t>Openbare besluitenlijst</w:t>
      </w:r>
      <w:r>
        <w:rPr>
          <w:rFonts w:ascii="Arial" w:hAnsi="Arial"/>
          <w:b/>
          <w:bCs/>
          <w:sz w:val="32"/>
          <w:szCs w:val="32"/>
        </w:rPr>
        <w:t xml:space="preserve"> collegevergadering </w:t>
      </w:r>
      <w:r>
        <w:rPr>
          <w:rFonts w:ascii="Arial" w:hAnsi="Arial"/>
          <w:b/>
          <w:bCs/>
          <w:sz w:val="32"/>
          <w:szCs w:val="32"/>
        </w:rPr>
        <w:t>van Dinkelland</w:t>
      </w:r>
      <w:r>
        <w:rPr>
          <w:rFonts w:ascii="Arial" w:hAnsi="Arial"/>
          <w:b/>
          <w:bCs/>
          <w:sz w:val="32"/>
          <w:szCs w:val="32"/>
        </w:rPr>
        <w:t xml:space="preserve"> </w:t>
      </w:r>
      <w:r>
        <w:rPr>
          <w:rFonts w:ascii="Arial" w:hAnsi="Arial"/>
          <w:b/>
          <w:bCs/>
          <w:sz w:val="32"/>
          <w:szCs w:val="32"/>
        </w:rPr>
        <w:t>9 september 2025</w:t>
      </w:r>
    </w:p>
    <w:p>
      <w:pPr>
        <w:sectPr>
          <w:footerReference w:type="default" r:id="rId2"/>
          <w:type w:val="continuous"/>
          <w:pgSz w:orient="landscape" w:w="16838" w:h="11906"/>
          <w:pgMar w:left="1134" w:right="1134" w:gutter="0" w:header="0" w:top="1134" w:footer="1134" w:bottom="1647"/>
          <w:formProt w:val="false"/>
          <w:textDirection w:val="lrTb"/>
          <w:docGrid w:type="default" w:linePitch="600" w:charSpace="40960"/>
        </w:sectPr>
      </w:pPr>
    </w:p>
    <w:p>
      <w:pPr>
        <w:pStyle w:val="Normal"/>
        <w:bidi w:val="0"/>
        <w:jc w:val="start"/>
        <w:rPr>
          <w:rFonts w:ascii="Arial" w:hAnsi="Arial"/>
        </w:rPr>
      </w:pPr>
      <w:r>
        <w:rPr>
          <w:rFonts w:ascii="Arial" w:hAnsi="Arial"/>
        </w:rPr>
      </w:r>
    </w:p>
    <w:tbl>
      <w:tblPr>
        <w:tblW w:w="14576" w:type="dxa"/>
        <w:jc w:val="start"/>
        <w:tblInd w:w="0" w:type="dxa"/>
        <w:tblLayout w:type="fixed"/>
        <w:tblCellMar>
          <w:top w:w="86" w:type="dxa"/>
          <w:start w:w="86" w:type="dxa"/>
          <w:bottom w:w="86" w:type="dxa"/>
          <w:end w:w="86" w:type="dxa"/>
        </w:tblCellMar>
      </w:tblPr>
      <w:tblGrid>
        <w:gridCol w:w="2527"/>
        <w:gridCol w:w="12049"/>
      </w:tblGrid>
      <w:tr>
        <w:trPr/>
        <w:tc>
          <w:tcPr>
            <w:tcW w:w="2527" w:type="dxa"/>
            <w:tcBorders>
              <w:top w:val="single" w:sz="2" w:space="0" w:color="000000"/>
            </w:tcBorders>
          </w:tcPr>
          <w:p>
            <w:pPr>
              <w:pStyle w:val="TableContents"/>
              <w:bidi w:val="0"/>
              <w:jc w:val="start"/>
              <w:rPr>
                <w:rFonts w:ascii="Arial" w:hAnsi="Arial"/>
              </w:rPr>
            </w:pPr>
            <w:r>
              <w:rPr>
                <w:rFonts w:ascii="Arial" w:hAnsi="Arial"/>
              </w:rPr>
              <w:t>Zaaknummer</w:t>
            </w:r>
          </w:p>
        </w:tc>
        <w:tc>
          <w:tcPr>
            <w:tcW w:w="12049" w:type="dxa"/>
            <w:tcBorders>
              <w:top w:val="single" w:sz="2" w:space="0" w:color="000000"/>
            </w:tcBorders>
          </w:tcPr>
          <w:p>
            <w:pPr>
              <w:pStyle w:val="TableContents"/>
              <w:bidi w:val="0"/>
              <w:jc w:val="start"/>
              <w:rPr>
                <w:rFonts w:ascii="Arial" w:hAnsi="Arial"/>
              </w:rPr>
            </w:pPr>
            <w:r>
              <w:rPr>
                <w:rFonts w:ascii="Arial" w:hAnsi="Arial"/>
              </w:rPr>
              <w:t>1438207</w:t>
            </w:r>
          </w:p>
        </w:tc>
      </w:tr>
      <w:tr>
        <w:trPr/>
        <w:tc>
          <w:tcPr>
            <w:tcW w:w="2527" w:type="dxa"/>
            <w:tcBorders/>
          </w:tcPr>
          <w:p>
            <w:pPr>
              <w:pStyle w:val="TableContents"/>
              <w:bidi w:val="0"/>
              <w:jc w:val="start"/>
              <w:rPr>
                <w:rFonts w:ascii="Arial" w:hAnsi="Arial"/>
              </w:rPr>
            </w:pPr>
            <w:r>
              <w:rPr>
                <w:rFonts w:ascii="Arial" w:hAnsi="Arial"/>
              </w:rPr>
              <w:t>Vergaderdatum</w:t>
            </w:r>
          </w:p>
        </w:tc>
        <w:tc>
          <w:tcPr>
            <w:tcW w:w="12049" w:type="dxa"/>
            <w:tcBorders/>
          </w:tcPr>
          <w:p>
            <w:pPr>
              <w:pStyle w:val="Normal"/>
              <w:bidi w:val="0"/>
              <w:jc w:val="start"/>
              <w:rPr>
                <w:rFonts w:ascii="Arial" w:hAnsi="Arial"/>
              </w:rPr>
            </w:pPr>
            <w:r>
              <w:rPr>
                <w:rFonts w:ascii="Arial" w:hAnsi="Arial"/>
              </w:rPr>
              <w:t>9 september 2025</w:t>
            </w:r>
          </w:p>
        </w:tc>
      </w:tr>
      <w:tr>
        <w:trPr/>
        <w:tc>
          <w:tcPr>
            <w:tcW w:w="2527" w:type="dxa"/>
            <w:tcBorders/>
          </w:tcPr>
          <w:p>
            <w:pPr>
              <w:pStyle w:val="TableContents"/>
              <w:bidi w:val="0"/>
              <w:jc w:val="start"/>
              <w:rPr>
                <w:rFonts w:ascii="Arial" w:hAnsi="Arial"/>
              </w:rPr>
            </w:pPr>
            <w:r>
              <w:rPr>
                <w:rFonts w:ascii="Arial" w:hAnsi="Arial"/>
              </w:rPr>
              <w:t>Voorzitter</w:t>
            </w:r>
          </w:p>
        </w:tc>
        <w:tc>
          <w:tcPr>
            <w:tcW w:w="12049" w:type="dxa"/>
            <w:tcBorders/>
          </w:tcPr>
          <w:p>
            <w:pPr>
              <w:pStyle w:val="TableContents"/>
              <w:bidi w:val="0"/>
              <w:jc w:val="start"/>
              <w:rPr>
                <w:rFonts w:ascii="Arial" w:hAnsi="Arial"/>
              </w:rPr>
            </w:pPr>
            <w:r>
              <w:rPr>
                <w:rFonts w:ascii="Arial" w:hAnsi="Arial"/>
              </w:rPr>
              <w:t>Burgemeester Joosten</w:t>
            </w:r>
          </w:p>
        </w:tc>
      </w:tr>
      <w:tr>
        <w:trPr/>
        <w:tc>
          <w:tcPr>
            <w:tcW w:w="2527" w:type="dxa"/>
            <w:tcBorders/>
          </w:tcPr>
          <w:p>
            <w:pPr>
              <w:pStyle w:val="TableContents"/>
              <w:bidi w:val="0"/>
              <w:jc w:val="start"/>
              <w:rPr>
                <w:rFonts w:ascii="Arial" w:hAnsi="Arial"/>
              </w:rPr>
            </w:pPr>
            <w:r>
              <w:rPr>
                <w:rFonts w:ascii="Arial" w:hAnsi="Arial"/>
              </w:rPr>
              <w:t>Aanwezig</w:t>
            </w:r>
          </w:p>
        </w:tc>
        <w:tc>
          <w:tcPr>
            <w:tcW w:w="12049" w:type="dxa"/>
            <w:tcBorders/>
          </w:tcPr>
          <w:p>
            <w:pPr>
              <w:pStyle w:val="TableContents"/>
              <w:bidi w:val="0"/>
              <w:jc w:val="start"/>
              <w:rPr>
                <w:rFonts w:ascii="Arial" w:hAnsi="Arial"/>
              </w:rPr>
            </w:pPr>
            <w:r>
              <w:rPr>
                <w:rFonts w:ascii="Arial" w:hAnsi="Arial"/>
              </w:rPr>
              <w:t>Burgemeester Joosten</w:t>
              <w:br/>
              <w:t>Wethouder De Way</w:t>
              <w:br/>
              <w:t>Wethouder Severijn</w:t>
              <w:br/>
              <w:t>Wethouder Olde Kalter</w:t>
              <w:br/>
              <w:t>Gemeentesecretaris Luttikhuis</w:t>
            </w:r>
          </w:p>
        </w:tc>
      </w:tr>
      <w:tr>
        <w:trPr/>
        <w:tc>
          <w:tcPr>
            <w:tcW w:w="2527" w:type="dxa"/>
            <w:tcBorders>
              <w:bottom w:val="single" w:sz="2" w:space="0" w:color="000000"/>
            </w:tcBorders>
          </w:tcPr>
          <w:p>
            <w:pPr>
              <w:pStyle w:val="TableContents"/>
              <w:bidi w:val="0"/>
              <w:jc w:val="start"/>
              <w:rPr>
                <w:rFonts w:ascii="Arial" w:hAnsi="Arial"/>
              </w:rPr>
            </w:pPr>
            <w:r>
              <w:rPr>
                <w:rFonts w:ascii="Arial" w:hAnsi="Arial"/>
              </w:rPr>
              <w:t>Afwezig</w:t>
            </w:r>
          </w:p>
        </w:tc>
        <w:tc>
          <w:tcPr>
            <w:tcW w:w="12049" w:type="dxa"/>
            <w:tcBorders>
              <w:bottom w:val="single" w:sz="2" w:space="0" w:color="000000"/>
            </w:tcBorders>
          </w:tcPr>
          <w:p>
            <w:pPr>
              <w:pStyle w:val="TableContents"/>
              <w:bidi w:val="0"/>
              <w:jc w:val="start"/>
              <w:rPr>
                <w:rFonts w:ascii="Arial" w:hAnsi="Arial"/>
              </w:rPr>
            </w:pPr>
            <w:r>
              <w:rPr>
                <w:rFonts w:ascii="Arial" w:hAnsi="Arial"/>
              </w:rPr>
            </w:r>
          </w:p>
        </w:tc>
      </w:tr>
    </w:tbl>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b/>
          <w:bCs/>
          <w:sz w:val="24"/>
          <w:szCs w:val="24"/>
        </w:rPr>
        <w:t xml:space="preserve">Openbare </w:t>
      </w:r>
      <w:r>
        <w:rPr>
          <w:rFonts w:ascii="Arial" w:hAnsi="Arial"/>
          <w:b/>
          <w:bCs/>
          <w:sz w:val="24"/>
          <w:szCs w:val="24"/>
        </w:rPr>
        <w:t>besluitenlijst</w:t>
      </w:r>
      <w:r>
        <w:rPr>
          <w:rFonts w:ascii="Arial" w:hAnsi="Arial"/>
        </w:rPr>
        <w:t xml:space="preserve"> </w:t>
      </w:r>
    </w:p>
    <w:p>
      <w:pPr>
        <w:pStyle w:val="Normal"/>
        <w:bidi w:val="0"/>
        <w:jc w:val="start"/>
        <w:rPr>
          <w:rFonts w:ascii="Arial" w:hAnsi="Arial"/>
        </w:rPr>
      </w:pPr>
      <w:r>
        <w:rPr>
          <w:rFonts w:ascii="Arial" w:hAnsi="Arial"/>
        </w:rPr>
      </w:r>
    </w:p>
    <w:tbl>
      <w:tblPr>
        <w:tblW w:w="5000" w:type="pct"/>
        <w:jc w:val="start"/>
        <w:tblInd w:w="0" w:type="dxa"/>
        <w:tblLayout w:type="fixed"/>
        <w:tblCellMar>
          <w:top w:w="55" w:type="dxa"/>
          <w:start w:w="55" w:type="dxa"/>
          <w:bottom w:w="55" w:type="dxa"/>
          <w:end w:w="55" w:type="dxa"/>
        </w:tblCellMar>
      </w:tblPr>
      <w:tblGrid>
        <w:gridCol w:w="1074"/>
        <w:gridCol w:w="2950"/>
        <w:gridCol w:w="5224"/>
        <w:gridCol w:w="5322"/>
      </w:tblGrid>
      <w:tr>
        <w:trPr/>
        <w:tc>
          <w:tcPr>
            <w:tcW w:w="1074" w:type="dxa"/>
            <w:tcBorders>
              <w:top w:val="single" w:sz="2" w:space="0" w:color="000000"/>
              <w:start w:val="single" w:sz="2" w:space="0" w:color="000000"/>
              <w:bottom w:val="single" w:sz="2" w:space="0" w:color="000000"/>
            </w:tcBorders>
            <w:shd w:fill="CCCCCC" w:val="clear"/>
          </w:tcPr>
          <w:p>
            <w:pPr>
              <w:pStyle w:val="TableHeading"/>
              <w:bidi w:val="0"/>
              <w:jc w:val="start"/>
              <w:rPr>
                <w:rFonts w:ascii="Arial" w:hAnsi="Arial"/>
              </w:rPr>
            </w:pPr>
            <w:r>
              <w:rPr>
                <w:rFonts w:ascii="Arial" w:hAnsi="Arial"/>
              </w:rPr>
              <w:t>Zaaknr</w:t>
            </w:r>
          </w:p>
        </w:tc>
        <w:tc>
          <w:tcPr>
            <w:tcW w:w="2950" w:type="dxa"/>
            <w:tcBorders>
              <w:top w:val="single" w:sz="2" w:space="0" w:color="000000"/>
              <w:start w:val="single" w:sz="2" w:space="0" w:color="000000"/>
              <w:bottom w:val="single" w:sz="2" w:space="0" w:color="000000"/>
            </w:tcBorders>
            <w:shd w:fill="CCCCCC" w:val="clear"/>
          </w:tcPr>
          <w:p>
            <w:pPr>
              <w:pStyle w:val="TableHeading"/>
              <w:bidi w:val="0"/>
              <w:jc w:val="start"/>
              <w:rPr>
                <w:rFonts w:ascii="Arial" w:hAnsi="Arial"/>
              </w:rPr>
            </w:pPr>
            <w:r>
              <w:rPr>
                <w:rFonts w:ascii="Arial" w:hAnsi="Arial"/>
              </w:rPr>
              <w:t>Onderwerp</w:t>
            </w:r>
          </w:p>
        </w:tc>
        <w:tc>
          <w:tcPr>
            <w:tcW w:w="5224" w:type="dxa"/>
            <w:tcBorders>
              <w:top w:val="single" w:sz="2" w:space="0" w:color="000000"/>
              <w:start w:val="single" w:sz="2" w:space="0" w:color="000000"/>
              <w:bottom w:val="single" w:sz="2" w:space="0" w:color="000000"/>
            </w:tcBorders>
            <w:shd w:fill="CCCCCC" w:val="clear"/>
          </w:tcPr>
          <w:p>
            <w:pPr>
              <w:pStyle w:val="TableHeading"/>
              <w:bidi w:val="0"/>
              <w:jc w:val="start"/>
              <w:rPr>
                <w:rFonts w:ascii="Arial" w:hAnsi="Arial"/>
              </w:rPr>
            </w:pPr>
            <w:r>
              <w:rPr>
                <w:rFonts w:ascii="Arial" w:hAnsi="Arial"/>
              </w:rPr>
              <w:t>Besluit</w:t>
            </w:r>
          </w:p>
        </w:tc>
        <w:tc>
          <w:tcPr>
            <w:tcW w:w="5322" w:type="dxa"/>
            <w:tcBorders>
              <w:top w:val="single" w:sz="2" w:space="0" w:color="000000"/>
              <w:start w:val="single" w:sz="2" w:space="0" w:color="000000"/>
              <w:bottom w:val="single" w:sz="2" w:space="0" w:color="000000"/>
              <w:end w:val="single" w:sz="2" w:space="0" w:color="000000"/>
            </w:tcBorders>
            <w:shd w:fill="CCCCCC" w:val="clear"/>
          </w:tcPr>
          <w:p>
            <w:pPr>
              <w:pStyle w:val="TableHeading"/>
              <w:bidi w:val="0"/>
              <w:jc w:val="start"/>
              <w:rPr>
                <w:rFonts w:ascii="Arial" w:hAnsi="Arial"/>
              </w:rPr>
            </w:pPr>
            <w:r>
              <w:rPr>
                <w:rFonts w:ascii="Arial" w:hAnsi="Arial"/>
              </w:rPr>
              <w:t>Samenvatting</w:t>
            </w:r>
          </w:p>
        </w:tc>
      </w:tr>
    </w:tbl>
    <w:tbl>
      <w:tblPr>
        <w:tblW w:w="5000" w:type="pct"/>
        <w:jc w:val="start"/>
        <w:tblInd w:w="0" w:type="dxa"/>
        <w:tblLayout w:type="fixed"/>
        <w:tblCellMar>
          <w:top w:w="55" w:type="dxa"/>
          <w:start w:w="55" w:type="dxa"/>
          <w:bottom w:w="55" w:type="dxa"/>
          <w:end w:w="55" w:type="dxa"/>
        </w:tblCellMar>
      </w:tblPr>
      <w:tblGrid>
        <w:gridCol w:w="1074"/>
        <w:gridCol w:w="2950"/>
        <w:gridCol w:w="5224"/>
        <w:gridCol w:w="5322"/>
      </w:tblGrid>
      <w:tr>
        <w:trPr>
          <w:trHeight w:val="675" w:hRule="atLeast"/>
        </w:trPr>
        <w:tc>
          <w:tcPr>
            <w:tcW w:w="1074" w:type="dxa"/>
            <w:tcBorders>
              <w:top w:val="single" w:sz="2" w:space="0" w:color="000000"/>
              <w:start w:val="single" w:sz="2" w:space="0" w:color="000000"/>
              <w:bottom w:val="single" w:sz="2" w:space="0" w:color="000000"/>
            </w:tcBorders>
          </w:tcPr>
          <w:p>
            <w:pPr>
              <w:pStyle w:val="TableContents"/>
              <w:bidi w:val="0"/>
              <w:jc w:val="start"/>
              <w:rPr>
                <w:rFonts w:ascii="Arial" w:hAnsi="Arial"/>
                <w:b/>
                <w:bCs/>
              </w:rPr>
            </w:pPr>
            <w:r>
              <w:rPr>
                <w:rFonts w:ascii="Arial" w:hAnsi="Arial"/>
                <w:b/>
                <w:bCs/>
              </w:rPr>
              <w:t>1438210</w:t>
            </w:r>
          </w:p>
        </w:tc>
        <w:tc>
          <w:tcPr>
            <w:tcW w:w="2950"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Openbare besluitenlijst B&amp;W-vergadering College Dinkelland d.d. 2 september 2025</w:t>
            </w:r>
          </w:p>
        </w:tc>
        <w:tc>
          <w:tcPr>
            <w:tcW w:w="5224"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De openbare B&amp;W-besluitenlijst van de Collegevergadering d.d. 2 september 2025 vast te stellen.</w:t>
            </w:r>
          </w:p>
        </w:tc>
        <w:tc>
          <w:tcPr>
            <w:tcW w:w="5322" w:type="dxa"/>
            <w:tcBorders>
              <w:top w:val="single" w:sz="2" w:space="0" w:color="000000"/>
              <w:start w:val="single" w:sz="2" w:space="0" w:color="000000"/>
              <w:bottom w:val="single" w:sz="2" w:space="0" w:color="000000"/>
              <w:end w:val="single" w:sz="2" w:space="0" w:color="000000"/>
            </w:tcBorders>
          </w:tcPr>
          <w:p>
            <w:pPr>
              <w:pStyle w:val="TableContents"/>
              <w:bidi w:val="0"/>
              <w:jc w:val="start"/>
              <w:rPr>
                <w:rFonts w:ascii="Arial" w:hAnsi="Arial"/>
              </w:rPr>
            </w:pPr>
            <w:r>
              <w:rPr>
                <w:rFonts w:ascii="Arial" w:hAnsi="Arial"/>
              </w:rPr>
              <w:t>De openbare B&amp;W-besluitenlijst van de voorgaande Collegevergadering wordt wekelijks vastgesteld.</w:t>
            </w:r>
          </w:p>
        </w:tc>
      </w:tr>
      <w:tr>
        <w:trPr>
          <w:trHeight w:val="675" w:hRule="atLeast"/>
        </w:trPr>
        <w:tc>
          <w:tcPr>
            <w:tcW w:w="1074" w:type="dxa"/>
            <w:tcBorders>
              <w:top w:val="single" w:sz="2" w:space="0" w:color="000000"/>
              <w:start w:val="single" w:sz="2" w:space="0" w:color="000000"/>
              <w:bottom w:val="single" w:sz="2" w:space="0" w:color="000000"/>
            </w:tcBorders>
          </w:tcPr>
          <w:p>
            <w:pPr>
              <w:pStyle w:val="TableContents"/>
              <w:bidi w:val="0"/>
              <w:jc w:val="start"/>
              <w:rPr>
                <w:rFonts w:ascii="Arial" w:hAnsi="Arial"/>
                <w:b/>
                <w:bCs/>
              </w:rPr>
            </w:pPr>
            <w:r>
              <w:rPr>
                <w:rFonts w:ascii="Arial" w:hAnsi="Arial"/>
                <w:b/>
                <w:bCs/>
              </w:rPr>
              <w:t>1419315</w:t>
            </w:r>
          </w:p>
        </w:tc>
        <w:tc>
          <w:tcPr>
            <w:tcW w:w="2950"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Tweede Kamerverkiezing op woensdag 29 oktober 2025 gemeente Dinkelland</w:t>
            </w:r>
          </w:p>
        </w:tc>
        <w:tc>
          <w:tcPr>
            <w:tcW w:w="5224" w:type="dxa"/>
            <w:tcBorders>
              <w:top w:val="single" w:sz="2" w:space="0" w:color="000000"/>
              <w:start w:val="single" w:sz="2" w:space="0" w:color="000000"/>
              <w:bottom w:val="single" w:sz="2" w:space="0" w:color="000000"/>
            </w:tcBorders>
          </w:tcPr>
          <w:p>
            <w:pPr>
              <w:pStyle w:val="TableContents"/>
              <w:numPr>
                <w:ilvl w:val="0"/>
                <w:numId w:val="2"/>
              </w:numPr>
              <w:bidi w:val="0"/>
              <w:jc w:val="start"/>
              <w:rPr/>
            </w:pPr>
            <w:r>
              <w:rPr/>
              <w:t>In te stemmen met de voorgestelde organisatie en uitvoering inzake de Tweede Kamerverkiezing op woensdag 29 oktober 2025;</w:t>
            </w:r>
          </w:p>
          <w:p>
            <w:pPr>
              <w:pStyle w:val="TableContents"/>
              <w:numPr>
                <w:ilvl w:val="0"/>
                <w:numId w:val="2"/>
              </w:numPr>
              <w:bidi w:val="0"/>
              <w:jc w:val="start"/>
              <w:rPr/>
            </w:pPr>
            <w:r>
              <w:rPr/>
              <w:t>Een mobiel stembureau aan te wijzen met beperkte toegang;</w:t>
            </w:r>
          </w:p>
          <w:p>
            <w:pPr>
              <w:pStyle w:val="TableContents"/>
              <w:numPr>
                <w:ilvl w:val="0"/>
                <w:numId w:val="2"/>
              </w:numPr>
              <w:bidi w:val="0"/>
              <w:jc w:val="start"/>
              <w:rPr/>
            </w:pPr>
            <w:r>
              <w:rPr/>
              <w:t>Het sportcomplex Dorper Esch als locatie aan te wijzen voor het centraal tellen op donderdag 30 oktober 2025;</w:t>
            </w:r>
          </w:p>
          <w:p>
            <w:pPr>
              <w:pStyle w:val="TableContents"/>
              <w:numPr>
                <w:ilvl w:val="0"/>
                <w:numId w:val="2"/>
              </w:numPr>
              <w:bidi w:val="0"/>
              <w:jc w:val="start"/>
              <w:rPr/>
            </w:pPr>
            <w:r>
              <w:rPr/>
              <w:t>De in bijlage 1 voorgestelde stembureaulocaties aan te wijzen binnen de gemeente Dinkelland;</w:t>
            </w:r>
          </w:p>
          <w:p>
            <w:pPr>
              <w:pStyle w:val="TableContents"/>
              <w:numPr>
                <w:ilvl w:val="0"/>
                <w:numId w:val="2"/>
              </w:numPr>
              <w:bidi w:val="0"/>
              <w:jc w:val="start"/>
              <w:rPr/>
            </w:pPr>
            <w:r>
              <w:rPr/>
              <w:t>De leden voor het Gemeentelijk Stembureau aan te wijzen (zie bijlage 2);</w:t>
            </w:r>
          </w:p>
          <w:p>
            <w:pPr>
              <w:pStyle w:val="TableContents"/>
              <w:numPr>
                <w:ilvl w:val="0"/>
                <w:numId w:val="2"/>
              </w:numPr>
              <w:bidi w:val="0"/>
              <w:jc w:val="start"/>
              <w:rPr/>
            </w:pPr>
            <w:r>
              <w:rPr/>
              <w:t>De voorzitters en de leden van de 17 stembureaus en van het mobiele stembureau aan te wijzen (zie bijlage 3);</w:t>
            </w:r>
          </w:p>
          <w:p>
            <w:pPr>
              <w:pStyle w:val="TableContents"/>
              <w:numPr>
                <w:ilvl w:val="0"/>
                <w:numId w:val="2"/>
              </w:numPr>
              <w:bidi w:val="0"/>
              <w:jc w:val="start"/>
              <w:rPr/>
            </w:pPr>
            <w:r>
              <w:rPr/>
              <w:t>In te stemmen met de in bijlage 4 geraamde kosten ter hoogte van € 104.660,00 te dekken uit de in de begroting 2025 opgenomen, structurele raming voor het organiseren van een verkiezing en het tekort van € 10.000,00 mee te nemen in het programmajournaal 2025.</w:t>
            </w:r>
          </w:p>
          <w:p>
            <w:pPr>
              <w:pStyle w:val="TableContents"/>
              <w:numPr>
                <w:ilvl w:val="0"/>
                <w:numId w:val="2"/>
              </w:numPr>
              <w:bidi w:val="0"/>
              <w:jc w:val="start"/>
              <w:rPr/>
            </w:pPr>
            <w:r>
              <w:rPr/>
              <w:t>Geheimhouding op te leggen op de bijlage 2 en 3.</w:t>
            </w:r>
          </w:p>
          <w:p>
            <w:pPr>
              <w:pStyle w:val="TableContents"/>
              <w:bidi w:val="0"/>
              <w:jc w:val="start"/>
              <w:rPr>
                <w:rFonts w:ascii="Arial" w:hAnsi="Arial"/>
              </w:rPr>
            </w:pPr>
            <w:r>
              <w:rPr>
                <w:rFonts w:ascii="Arial" w:hAnsi="Arial"/>
              </w:rPr>
            </w:r>
          </w:p>
        </w:tc>
        <w:tc>
          <w:tcPr>
            <w:tcW w:w="5322" w:type="dxa"/>
            <w:tcBorders>
              <w:top w:val="single" w:sz="2" w:space="0" w:color="000000"/>
              <w:start w:val="single" w:sz="2" w:space="0" w:color="000000"/>
              <w:bottom w:val="single" w:sz="2" w:space="0" w:color="000000"/>
              <w:end w:val="single" w:sz="2" w:space="0" w:color="000000"/>
            </w:tcBorders>
          </w:tcPr>
          <w:p>
            <w:pPr>
              <w:pStyle w:val="TableContents"/>
              <w:bidi w:val="0"/>
              <w:jc w:val="start"/>
              <w:rPr>
                <w:rFonts w:ascii="Arial" w:hAnsi="Arial"/>
              </w:rPr>
            </w:pPr>
            <w:r>
              <w:rPr>
                <w:rFonts w:ascii="Arial" w:hAnsi="Arial"/>
              </w:rPr>
              <w:t>Om tot een goede organisatie en uitvoering van de aanstaande Tweede Kamerverkiezing te komen zijn de stembureaulocaties en de locatie voor het centraal tellen binnen de gemeente Dinkelland vastgesteld. Daar naast wordt er gebruik gemaakt van een mobiel stembureau om het stemmen in de verpleeg- en verzorgingstehuizen te faciliteren. De geraamde kosten worden structureel gedekt uit de begroting 2025, maar er is een tekort van €10.000,00. Dit wordt meegenomen in het programmajournaal 2025.</w:t>
            </w:r>
          </w:p>
        </w:tc>
      </w:tr>
      <w:tr>
        <w:trPr>
          <w:trHeight w:val="675" w:hRule="atLeast"/>
        </w:trPr>
        <w:tc>
          <w:tcPr>
            <w:tcW w:w="1074" w:type="dxa"/>
            <w:tcBorders>
              <w:top w:val="single" w:sz="2" w:space="0" w:color="000000"/>
              <w:start w:val="single" w:sz="2" w:space="0" w:color="000000"/>
              <w:bottom w:val="single" w:sz="2" w:space="0" w:color="000000"/>
            </w:tcBorders>
          </w:tcPr>
          <w:p>
            <w:pPr>
              <w:pStyle w:val="TableContents"/>
              <w:bidi w:val="0"/>
              <w:jc w:val="start"/>
              <w:rPr>
                <w:rFonts w:ascii="Arial" w:hAnsi="Arial"/>
                <w:b/>
                <w:bCs/>
              </w:rPr>
            </w:pPr>
            <w:r>
              <w:rPr>
                <w:rFonts w:ascii="Arial" w:hAnsi="Arial"/>
                <w:b/>
                <w:bCs/>
              </w:rPr>
              <w:t>1432097</w:t>
            </w:r>
          </w:p>
        </w:tc>
        <w:tc>
          <w:tcPr>
            <w:tcW w:w="2950"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Aanwijzingsbesluit Wet Bibob ten behoeve van de inkoop Jeugdhulp en ondersteuning vanuit de Wmo (Samen Twente)</w:t>
            </w:r>
          </w:p>
        </w:tc>
        <w:tc>
          <w:tcPr>
            <w:tcW w:w="5224"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Het college en burgemeester besluiten, ieder voor zover bevoegd:</w:t>
            </w:r>
          </w:p>
          <w:p>
            <w:pPr>
              <w:pStyle w:val="TableContents"/>
              <w:bidi w:val="0"/>
              <w:jc w:val="start"/>
              <w:rPr>
                <w:rFonts w:ascii="Arial" w:hAnsi="Arial"/>
              </w:rPr>
            </w:pPr>
            <w:r>
              <w:rPr>
                <w:rFonts w:ascii="Arial" w:hAnsi="Arial"/>
              </w:rPr>
            </w:r>
          </w:p>
          <w:p>
            <w:pPr>
              <w:pStyle w:val="TableContents"/>
              <w:bidi w:val="0"/>
              <w:jc w:val="start"/>
              <w:rPr>
                <w:rFonts w:ascii="Arial" w:hAnsi="Arial"/>
              </w:rPr>
            </w:pPr>
            <w:r>
              <w:rPr>
                <w:rFonts w:ascii="Arial" w:hAnsi="Arial"/>
              </w:rPr>
              <w:t>voor de inkoop en contractering Jeugdhulp en de ondersteuning vanuit de Wet maatschappelijke ondersteuning 2015 (hierna: Wmo),</w:t>
            </w:r>
          </w:p>
          <w:p>
            <w:pPr>
              <w:pStyle w:val="TableContents"/>
              <w:bidi w:val="0"/>
              <w:jc w:val="start"/>
              <w:rPr>
                <w:rFonts w:ascii="Arial" w:hAnsi="Arial"/>
              </w:rPr>
            </w:pPr>
            <w:r>
              <w:rPr>
                <w:rFonts w:ascii="Arial" w:hAnsi="Arial"/>
              </w:rPr>
              <w:t>de navolgende personen mandaat, volmacht en machtiging te verlenen:</w:t>
            </w:r>
          </w:p>
          <w:p>
            <w:pPr>
              <w:pStyle w:val="BodyText"/>
              <w:numPr>
                <w:ilvl w:val="0"/>
                <w:numId w:val="3"/>
              </w:numPr>
              <w:bidi w:val="0"/>
              <w:spacing w:before="0" w:after="0"/>
              <w:jc w:val="start"/>
              <w:rPr>
                <w:rFonts w:ascii="Arial" w:hAnsi="Arial"/>
              </w:rPr>
            </w:pPr>
            <w:r>
              <w:rPr>
                <w:rFonts w:ascii="Arial" w:hAnsi="Arial"/>
              </w:rPr>
              <w:t>medewerkers van OZJT/Samen14 in de functie van toezichthouder Jeugd en Wmo;</w:t>
            </w:r>
          </w:p>
          <w:p>
            <w:pPr>
              <w:pStyle w:val="BodyText"/>
              <w:numPr>
                <w:ilvl w:val="0"/>
                <w:numId w:val="3"/>
              </w:numPr>
              <w:bidi w:val="0"/>
              <w:spacing w:before="0" w:after="0"/>
              <w:jc w:val="start"/>
              <w:rPr>
                <w:rFonts w:ascii="Arial" w:hAnsi="Arial"/>
              </w:rPr>
            </w:pPr>
            <w:r>
              <w:rPr>
                <w:rFonts w:ascii="Arial" w:hAnsi="Arial"/>
              </w:rPr>
              <w:t>gemeentelijke toezichthouders Jeugd en Wmo en Bibob-coördinatoren van de veertien Twentse gemeenten die aan de gemeenschappelijke regeling SamenTwente deelnemen dan wel aan een coalitie taak op het gebied van sociaal domein;</w:t>
            </w:r>
          </w:p>
          <w:p>
            <w:pPr>
              <w:pStyle w:val="TableContents"/>
              <w:bidi w:val="0"/>
              <w:jc w:val="start"/>
              <w:rPr>
                <w:rFonts w:ascii="Arial" w:hAnsi="Arial"/>
              </w:rPr>
            </w:pPr>
            <w:r>
              <w:rPr>
                <w:rFonts w:ascii="Arial" w:hAnsi="Arial"/>
              </w:rPr>
              <w:t>om:</w:t>
            </w:r>
          </w:p>
          <w:p>
            <w:pPr>
              <w:pStyle w:val="TableContents"/>
              <w:bidi w:val="0"/>
              <w:jc w:val="start"/>
              <w:rPr>
                <w:rFonts w:ascii="Arial" w:hAnsi="Arial"/>
              </w:rPr>
            </w:pPr>
            <w:r>
              <w:rPr>
                <w:rFonts w:ascii="Arial" w:hAnsi="Arial"/>
              </w:rPr>
              <w:t>in hun naam een Bibob-onderzoek te (laten) verrichten, zoals bedoeld in de Wet bevordering integriteitsbeoordelingen door het openbaar bestuur (Wet Bibob), waaronder het doen van een eigen onderzoek en/of het inwinnen van een advies bij het Landelijk Bureau Bibob, alsmede alle handelingen te verrichten die daarmee verband houden, waaronder begrepen voorbereidingshandelingen, feitelijke handelingen, rechtshandelingen en proceshandelingen. Hieronder valt in ieder geval:</w:t>
            </w:r>
          </w:p>
          <w:p>
            <w:pPr>
              <w:pStyle w:val="TableContents"/>
              <w:numPr>
                <w:ilvl w:val="0"/>
                <w:numId w:val="4"/>
              </w:numPr>
              <w:bidi w:val="0"/>
              <w:jc w:val="start"/>
              <w:rPr/>
            </w:pPr>
            <w:r>
              <w:rPr/>
              <w:t>Het uitvoeren van een eigen Bibob-onderzoek als bedoeld in de artikelen 7a, 7b, 7c en 11a van de Wet Bibob en in het verlengde daarvan betrokkene verzoeken aanvullende gegevens aan te leveren en/of betrokkene daarover bevragen;</w:t>
            </w:r>
          </w:p>
          <w:p>
            <w:pPr>
              <w:pStyle w:val="TableContents"/>
              <w:numPr>
                <w:ilvl w:val="0"/>
                <w:numId w:val="4"/>
              </w:numPr>
              <w:bidi w:val="0"/>
              <w:jc w:val="start"/>
              <w:rPr/>
            </w:pPr>
            <w:r>
              <w:rPr/>
              <w:t>Het opvragen van politiegegevens als bedoeld in artikel 4.3, eerste lid onder l, van het Besluit politiegegevens, justitiële gegevens als bedoeld in artikel 15 van het Besluit justitiële, strafvorderlijke gegevens als bedoeld in artikel 39f, eerste lid, onder d en g, en tweede lid van de Wet justitiële en strafvorderlijke gegevens en gegevens bij de Rijksbelastingdienst als bedoeld in artikel 7c van de Wet bevordering integriteitsbeoordelingen door het openbaar bestuur;</w:t>
            </w:r>
          </w:p>
          <w:p>
            <w:pPr>
              <w:pStyle w:val="TableContents"/>
              <w:numPr>
                <w:ilvl w:val="0"/>
                <w:numId w:val="4"/>
              </w:numPr>
              <w:bidi w:val="0"/>
              <w:jc w:val="start"/>
              <w:rPr/>
            </w:pPr>
            <w:r>
              <w:rPr/>
              <w:t>Het inwinnen van een advies van het Landelijk Bureau Bibob als bedoeld in artikel 5, tweede lid, onder a, b en c, juncto artikel 9 van de Wet Bibob en op basis daarvan besluiten nemen;</w:t>
            </w:r>
          </w:p>
          <w:p>
            <w:pPr>
              <w:pStyle w:val="TableContents"/>
              <w:numPr>
                <w:ilvl w:val="0"/>
                <w:numId w:val="4"/>
              </w:numPr>
              <w:bidi w:val="0"/>
              <w:jc w:val="start"/>
              <w:rPr/>
            </w:pPr>
            <w:r>
              <w:rPr/>
              <w:t>Betrokkene in de gelegenheid stellen een zienswijze naar voren te brengen naar aanleiding van het voornemen om voorschriften en/of beperkingen te verbinden aan de gunning inzake de Jeugdhulp dan wel ondersteuning vanuit de Wmo of betrokkene uit te sluiten;</w:t>
            </w:r>
          </w:p>
          <w:p>
            <w:pPr>
              <w:pStyle w:val="TableContents"/>
              <w:numPr>
                <w:ilvl w:val="0"/>
                <w:numId w:val="4"/>
              </w:numPr>
              <w:bidi w:val="0"/>
              <w:jc w:val="start"/>
              <w:rPr/>
            </w:pPr>
            <w:r>
              <w:rPr/>
              <w:t>De toepassing van de artikelen 2.86 tot en met 2.89 van de Aanbestedingswet; en</w:t>
            </w:r>
          </w:p>
          <w:p>
            <w:pPr>
              <w:pStyle w:val="TableContents"/>
              <w:numPr>
                <w:ilvl w:val="0"/>
                <w:numId w:val="4"/>
              </w:numPr>
              <w:bidi w:val="0"/>
              <w:jc w:val="start"/>
              <w:rPr/>
            </w:pPr>
            <w:r>
              <w:rPr/>
              <w:t>Toezicht te houden en Bibob-onderzoek uit te voeren op de (raam)overeenkomst die met de zorgaanbieders zijn gesloten en de inschakeling van eventuele onderaannemers.</w:t>
            </w:r>
          </w:p>
          <w:p>
            <w:pPr>
              <w:pStyle w:val="TableContents"/>
              <w:numPr>
                <w:ilvl w:val="0"/>
                <w:numId w:val="4"/>
              </w:numPr>
              <w:bidi w:val="0"/>
              <w:jc w:val="start"/>
              <w:rPr/>
            </w:pPr>
            <w:r>
              <w:rPr/>
              <w:t>Bij het afgeven van dit nieuwe mandaat/deze volmacht, wordt het eerder verleende mandaat/volmacht Wet Bibob dat verleend is aan het begin van 2024 teruggetrokken.</w:t>
            </w:r>
          </w:p>
          <w:p>
            <w:pPr>
              <w:pStyle w:val="TableContents"/>
              <w:bidi w:val="0"/>
              <w:jc w:val="start"/>
              <w:rPr>
                <w:rFonts w:ascii="Arial" w:hAnsi="Arial"/>
              </w:rPr>
            </w:pPr>
            <w:r>
              <w:rPr>
                <w:rFonts w:ascii="Arial" w:hAnsi="Arial"/>
              </w:rPr>
            </w:r>
          </w:p>
          <w:p>
            <w:pPr>
              <w:pStyle w:val="TableContents"/>
              <w:bidi w:val="0"/>
              <w:jc w:val="start"/>
              <w:rPr>
                <w:rFonts w:ascii="Arial" w:hAnsi="Arial"/>
              </w:rPr>
            </w:pPr>
            <w:r>
              <w:rPr>
                <w:rFonts w:ascii="Arial" w:hAnsi="Arial"/>
              </w:rPr>
              <w:t>Hieronder valt niet:</w:t>
            </w:r>
          </w:p>
          <w:p>
            <w:pPr>
              <w:pStyle w:val="TableContents"/>
              <w:numPr>
                <w:ilvl w:val="0"/>
                <w:numId w:val="5"/>
              </w:numPr>
              <w:bidi w:val="0"/>
              <w:jc w:val="start"/>
              <w:rPr/>
            </w:pPr>
            <w:r>
              <w:rPr/>
              <w:t>Het aangaan of ontbinden van overeenkomsten of het besluiten daartoe.</w:t>
            </w:r>
          </w:p>
          <w:p>
            <w:pPr>
              <w:pStyle w:val="TableContents"/>
              <w:bidi w:val="0"/>
              <w:jc w:val="start"/>
              <w:rPr>
                <w:rFonts w:ascii="Arial" w:hAnsi="Arial"/>
              </w:rPr>
            </w:pPr>
            <w:r>
              <w:rPr>
                <w:rFonts w:ascii="Arial" w:hAnsi="Arial"/>
              </w:rPr>
            </w:r>
          </w:p>
        </w:tc>
        <w:tc>
          <w:tcPr>
            <w:tcW w:w="5322" w:type="dxa"/>
            <w:tcBorders>
              <w:top w:val="single" w:sz="2" w:space="0" w:color="000000"/>
              <w:start w:val="single" w:sz="2" w:space="0" w:color="000000"/>
              <w:bottom w:val="single" w:sz="2" w:space="0" w:color="000000"/>
              <w:end w:val="single" w:sz="2" w:space="0" w:color="000000"/>
            </w:tcBorders>
          </w:tcPr>
          <w:p>
            <w:pPr>
              <w:pStyle w:val="TableContents"/>
              <w:bidi w:val="0"/>
              <w:jc w:val="start"/>
              <w:rPr>
                <w:rFonts w:ascii="Arial" w:hAnsi="Arial"/>
              </w:rPr>
            </w:pPr>
            <w:r>
              <w:rPr>
                <w:rFonts w:ascii="Arial" w:hAnsi="Arial"/>
              </w:rPr>
              <w:t>Het college en de burgemeester hebben besloten, ieder voor zover zij bevoegd zijn dat medewerkers van OZJT/Samen14 die werken als toezichthouder Jeugd en Wmo, net als de gemeentelijke toezichthouders Jeugd en Wmo en de Bibob-coördinatoren van de veertien Twentse gemeenten die samenwerken in SamenTwente, mandaat, volmacht en machtiging krijgen om hun taken uit te voeren binnen het sociaal domein.</w:t>
            </w:r>
          </w:p>
        </w:tc>
      </w:tr>
      <w:tr>
        <w:trPr>
          <w:trHeight w:val="675" w:hRule="atLeast"/>
        </w:trPr>
        <w:tc>
          <w:tcPr>
            <w:tcW w:w="1074" w:type="dxa"/>
            <w:tcBorders>
              <w:top w:val="single" w:sz="2" w:space="0" w:color="000000"/>
              <w:start w:val="single" w:sz="2" w:space="0" w:color="000000"/>
              <w:bottom w:val="single" w:sz="2" w:space="0" w:color="000000"/>
            </w:tcBorders>
          </w:tcPr>
          <w:p>
            <w:pPr>
              <w:pStyle w:val="TableContents"/>
              <w:bidi w:val="0"/>
              <w:jc w:val="start"/>
              <w:rPr>
                <w:rFonts w:ascii="Arial" w:hAnsi="Arial"/>
                <w:b/>
                <w:bCs/>
              </w:rPr>
            </w:pPr>
            <w:r>
              <w:rPr>
                <w:rFonts w:ascii="Arial" w:hAnsi="Arial"/>
                <w:b/>
                <w:bCs/>
              </w:rPr>
              <w:t>1379746</w:t>
            </w:r>
          </w:p>
        </w:tc>
        <w:tc>
          <w:tcPr>
            <w:tcW w:w="2950"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Vaststellen beleidsregels Wet inburgering 2021 gemeente Dinkelland</w:t>
            </w:r>
          </w:p>
        </w:tc>
        <w:tc>
          <w:tcPr>
            <w:tcW w:w="5224"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De “Beleidsregels Wet inburgering 2021 gemeente Dinkelland” vast te stellen.</w:t>
            </w:r>
          </w:p>
        </w:tc>
        <w:tc>
          <w:tcPr>
            <w:tcW w:w="5322" w:type="dxa"/>
            <w:tcBorders>
              <w:top w:val="single" w:sz="2" w:space="0" w:color="000000"/>
              <w:start w:val="single" w:sz="2" w:space="0" w:color="000000"/>
              <w:bottom w:val="single" w:sz="2" w:space="0" w:color="000000"/>
              <w:end w:val="single" w:sz="2" w:space="0" w:color="000000"/>
            </w:tcBorders>
          </w:tcPr>
          <w:p>
            <w:pPr>
              <w:pStyle w:val="TableContents"/>
              <w:bidi w:val="0"/>
              <w:jc w:val="start"/>
              <w:rPr>
                <w:rFonts w:ascii="Arial" w:hAnsi="Arial"/>
              </w:rPr>
            </w:pPr>
            <w:r>
              <w:rPr>
                <w:rFonts w:ascii="Arial" w:hAnsi="Arial"/>
              </w:rPr>
              <w:t>Deze beleidsregels zijn opgesteld voor de uitvoering van de Wet inburgering 2021. In deze regels is uitgewerkt hoe de gemeente uitvoering geeft aan onder andere de brede intake, het Persoonlijk plan Inburgering en Participatie (hierna: PIP), de leerroutes, maatschappelijke begeleiding, Module Arbeidsmarkt en Participatie (hierna: MAP) en het Participatieverklaringstraject (hierna: PVT). Ook zijn de afspraken over handhaving vastgelegd. De beleidsregels zijn bedoeld om rechtszekerheid, uitvoerbaarheid en uniformiteit in de uitvoering te waarborgen.</w:t>
            </w:r>
          </w:p>
        </w:tc>
      </w:tr>
      <w:tr>
        <w:trPr>
          <w:trHeight w:val="675" w:hRule="atLeast"/>
        </w:trPr>
        <w:tc>
          <w:tcPr>
            <w:tcW w:w="1074" w:type="dxa"/>
            <w:tcBorders>
              <w:top w:val="single" w:sz="2" w:space="0" w:color="000000"/>
              <w:start w:val="single" w:sz="2" w:space="0" w:color="000000"/>
              <w:bottom w:val="single" w:sz="2" w:space="0" w:color="000000"/>
            </w:tcBorders>
          </w:tcPr>
          <w:p>
            <w:pPr>
              <w:pStyle w:val="TableContents"/>
              <w:bidi w:val="0"/>
              <w:jc w:val="start"/>
              <w:rPr>
                <w:rFonts w:ascii="Arial" w:hAnsi="Arial"/>
                <w:b/>
                <w:bCs/>
              </w:rPr>
            </w:pPr>
            <w:r>
              <w:rPr>
                <w:rFonts w:ascii="Arial" w:hAnsi="Arial"/>
                <w:b/>
                <w:bCs/>
              </w:rPr>
              <w:t>1288631</w:t>
            </w:r>
          </w:p>
        </w:tc>
        <w:tc>
          <w:tcPr>
            <w:tcW w:w="2950"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Ter inzagelegging ontwerpbesluit tot wijziging van het omgevingsplan 'TAM-Omgevingsplan Hoofdstuk 22i Buitengebied, Postweg 19 Saasveld en Bornsedijk 14 Deurningen'.</w:t>
            </w:r>
          </w:p>
        </w:tc>
        <w:tc>
          <w:tcPr>
            <w:tcW w:w="5224"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Het omgevingsplan 'TAM-Omgevingsplan Hoofdstuk 22i Buitengebied, Postweg 19 Saasveld en Bornsedijk 14 Deurningen' als vervat in het digitale bestand met NL.IMRO.1774.TAMBUIPOST19BORN14-OW01 en de bijbehorende bestanden met de bijbehorende ondergrond ter inzage te leggen.</w:t>
            </w:r>
          </w:p>
          <w:p>
            <w:pPr>
              <w:pStyle w:val="TableContents"/>
              <w:bidi w:val="0"/>
              <w:jc w:val="start"/>
              <w:rPr>
                <w:rFonts w:ascii="Arial" w:hAnsi="Arial"/>
              </w:rPr>
            </w:pPr>
            <w:r>
              <w:rPr>
                <w:rFonts w:ascii="Arial" w:hAnsi="Arial"/>
              </w:rPr>
            </w:r>
          </w:p>
        </w:tc>
        <w:tc>
          <w:tcPr>
            <w:tcW w:w="5322" w:type="dxa"/>
            <w:tcBorders>
              <w:top w:val="single" w:sz="2" w:space="0" w:color="000000"/>
              <w:start w:val="single" w:sz="2" w:space="0" w:color="000000"/>
              <w:bottom w:val="single" w:sz="2" w:space="0" w:color="000000"/>
              <w:end w:val="single" w:sz="2" w:space="0" w:color="000000"/>
            </w:tcBorders>
          </w:tcPr>
          <w:p>
            <w:pPr>
              <w:pStyle w:val="TableContents"/>
              <w:bidi w:val="0"/>
              <w:jc w:val="start"/>
              <w:rPr>
                <w:rFonts w:ascii="Arial" w:hAnsi="Arial"/>
              </w:rPr>
            </w:pPr>
            <w:r>
              <w:rPr>
                <w:rFonts w:ascii="Arial" w:hAnsi="Arial"/>
              </w:rPr>
              <w:t>Het ontwerpbesluit tot wijziging van het omgevingsplan 'TAM-Omgevingsplan Hoofdstuk 22i Buitengebied, Postweg 19 Saasveld en Bornsedijk 14 Deurningen' wordt ter inzage gelegd. Het omgevingsplan maakt het mogelijk om op basis van de Rood voor Rood regeling twee extra woningen aan de Postweg 19 en één extra woning naast de Bornsedijk 14 te realiseren. Om een wijziging van het omgevingsplan mogelijk te maken, wordt gebruikt gemaakt een zogenoemd TAM-IMRO omgevingsplan. Dat is een tijdelijke alternatieve maatregel voor gemeenten om via de IMRO-standaard (Informatiemodel Ruimtelijke Ordening) het omgevingsplan te wijzigen om ontwikkeling te kunnen blijven faciliteren. </w:t>
            </w:r>
          </w:p>
        </w:tc>
      </w:tr>
      <w:tr>
        <w:trPr>
          <w:trHeight w:val="675" w:hRule="atLeast"/>
        </w:trPr>
        <w:tc>
          <w:tcPr>
            <w:tcW w:w="1074" w:type="dxa"/>
            <w:tcBorders>
              <w:top w:val="single" w:sz="2" w:space="0" w:color="000000"/>
              <w:start w:val="single" w:sz="2" w:space="0" w:color="000000"/>
              <w:bottom w:val="single" w:sz="2" w:space="0" w:color="000000"/>
            </w:tcBorders>
          </w:tcPr>
          <w:p>
            <w:pPr>
              <w:pStyle w:val="TableContents"/>
              <w:bidi w:val="0"/>
              <w:jc w:val="start"/>
              <w:rPr>
                <w:rFonts w:ascii="Arial" w:hAnsi="Arial"/>
                <w:b/>
                <w:bCs/>
              </w:rPr>
            </w:pPr>
            <w:r>
              <w:rPr>
                <w:rFonts w:ascii="Arial" w:hAnsi="Arial"/>
                <w:b/>
                <w:bCs/>
              </w:rPr>
              <w:t>1386024</w:t>
            </w:r>
          </w:p>
        </w:tc>
        <w:tc>
          <w:tcPr>
            <w:tcW w:w="2950"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Nadere regels subsidieverstrekking Zorghuis Twente, locatie de Huiskamer.</w:t>
            </w:r>
          </w:p>
        </w:tc>
        <w:tc>
          <w:tcPr>
            <w:tcW w:w="5224"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De nadere regels 'subsidieverstrekking Zorghuis Twente, zorghuis de Huiskamer' vast te stellen.</w:t>
            </w:r>
          </w:p>
        </w:tc>
        <w:tc>
          <w:tcPr>
            <w:tcW w:w="5322" w:type="dxa"/>
            <w:tcBorders>
              <w:top w:val="single" w:sz="2" w:space="0" w:color="000000"/>
              <w:start w:val="single" w:sz="2" w:space="0" w:color="000000"/>
              <w:bottom w:val="single" w:sz="2" w:space="0" w:color="000000"/>
              <w:end w:val="single" w:sz="2" w:space="0" w:color="000000"/>
            </w:tcBorders>
          </w:tcPr>
          <w:p>
            <w:pPr>
              <w:pStyle w:val="TableContents"/>
              <w:bidi w:val="0"/>
              <w:jc w:val="start"/>
              <w:rPr>
                <w:rFonts w:ascii="Arial" w:hAnsi="Arial"/>
              </w:rPr>
            </w:pPr>
            <w:r>
              <w:rPr>
                <w:rFonts w:ascii="Arial" w:hAnsi="Arial"/>
              </w:rPr>
              <w:t>Het college heeft besloten dat er duidelijke regels nodig zijn voor het geven van subsidies aan instellingen waar cliënten wonen met een Wet langdurige zorg (Wlz) indicatie en dit verzilveren met een modulair pakket thuis (mpt) of een volledig pakket thuis (vpt). In de nieuwe regels staat wat het doel van de subsidie is, welke criteria en voorwaarden gelden en welke documenten nodig zijn bij de aanvraag en bij het verantwoorden van de subsidie. Deze nadere regels gelden speciaal voor Zorghuis Twente, locatie De Huiskamer.</w:t>
            </w:r>
          </w:p>
        </w:tc>
      </w:tr>
      <w:tr>
        <w:trPr>
          <w:trHeight w:val="675" w:hRule="atLeast"/>
        </w:trPr>
        <w:tc>
          <w:tcPr>
            <w:tcW w:w="1074" w:type="dxa"/>
            <w:tcBorders>
              <w:top w:val="single" w:sz="2" w:space="0" w:color="000000"/>
              <w:start w:val="single" w:sz="2" w:space="0" w:color="000000"/>
              <w:bottom w:val="single" w:sz="2" w:space="0" w:color="000000"/>
            </w:tcBorders>
          </w:tcPr>
          <w:p>
            <w:pPr>
              <w:pStyle w:val="TableContents"/>
              <w:bidi w:val="0"/>
              <w:jc w:val="start"/>
              <w:rPr>
                <w:rFonts w:ascii="Arial" w:hAnsi="Arial"/>
                <w:b/>
                <w:bCs/>
              </w:rPr>
            </w:pPr>
            <w:r>
              <w:rPr>
                <w:rFonts w:ascii="Arial" w:hAnsi="Arial"/>
                <w:b/>
                <w:bCs/>
              </w:rPr>
              <w:t>1439578</w:t>
            </w:r>
          </w:p>
        </w:tc>
        <w:tc>
          <w:tcPr>
            <w:tcW w:w="2950"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Beantwoording schriftelijke vragen fractie Lokaal Dinkelland met betrekking tot Woningbouwimpuls</w:t>
            </w:r>
          </w:p>
        </w:tc>
        <w:tc>
          <w:tcPr>
            <w:tcW w:w="5224" w:type="dxa"/>
            <w:tcBorders>
              <w:top w:val="single" w:sz="2" w:space="0" w:color="000000"/>
              <w:start w:val="single" w:sz="2" w:space="0" w:color="000000"/>
              <w:bottom w:val="single" w:sz="2" w:space="0" w:color="000000"/>
            </w:tcBorders>
          </w:tcPr>
          <w:p>
            <w:pPr>
              <w:pStyle w:val="TableContents"/>
              <w:bidi w:val="0"/>
              <w:jc w:val="start"/>
              <w:rPr>
                <w:rFonts w:ascii="Arial" w:hAnsi="Arial"/>
              </w:rPr>
            </w:pPr>
            <w:r>
              <w:rPr>
                <w:rFonts w:ascii="Arial" w:hAnsi="Arial"/>
              </w:rPr>
              <w:t>De schriftelijke vragen van de fractie Lokaal Dinkelland met betrekking tot Woningbouwimpuls, middels bijgaande raadsbrief te beantwoorden.</w:t>
            </w:r>
          </w:p>
        </w:tc>
        <w:tc>
          <w:tcPr>
            <w:tcW w:w="5322" w:type="dxa"/>
            <w:tcBorders>
              <w:top w:val="single" w:sz="2" w:space="0" w:color="000000"/>
              <w:start w:val="single" w:sz="2" w:space="0" w:color="000000"/>
              <w:bottom w:val="single" w:sz="2" w:space="0" w:color="000000"/>
              <w:end w:val="single" w:sz="2" w:space="0" w:color="000000"/>
            </w:tcBorders>
          </w:tcPr>
          <w:p>
            <w:pPr>
              <w:pStyle w:val="TableContents"/>
              <w:bidi w:val="0"/>
              <w:jc w:val="start"/>
              <w:rPr>
                <w:rFonts w:ascii="Arial" w:hAnsi="Arial"/>
              </w:rPr>
            </w:pPr>
            <w:r>
              <w:rPr>
                <w:rFonts w:ascii="Arial" w:hAnsi="Arial"/>
              </w:rPr>
              <w:t>Het college beantwoordt de schriftelijke vragen van de fractie Lokaal Dinkelland met betrekking tot Woningbouwimpuls middels een raadsbrief.</w:t>
            </w:r>
          </w:p>
        </w:tc>
      </w:tr>
    </w:tbl>
    <w:p>
      <w:pPr>
        <w:pStyle w:val="Normal"/>
        <w:bidi w:val="0"/>
        <w:jc w:val="start"/>
        <w:rPr>
          <w:rFonts w:ascii="Arial" w:hAnsi="Arial"/>
        </w:rPr>
      </w:pPr>
      <w:r>
        <w:rPr>
          <w:rFonts w:ascii="Arial" w:hAnsi="Arial"/>
        </w:rPr>
      </w:r>
    </w:p>
    <w:tbl>
      <w:tblPr>
        <w:tblW w:w="5000" w:type="pct"/>
        <w:jc w:val="start"/>
        <w:tblInd w:w="0" w:type="dxa"/>
        <w:tblLayout w:type="fixed"/>
        <w:tblCellMar>
          <w:top w:w="0" w:type="dxa"/>
          <w:start w:w="0" w:type="dxa"/>
          <w:bottom w:w="0" w:type="dxa"/>
          <w:end w:w="0" w:type="dxa"/>
        </w:tblCellMar>
      </w:tblPr>
      <w:tblGrid>
        <w:gridCol w:w="14570"/>
      </w:tblGrid>
      <w:tr>
        <w:trPr>
          <w:cantSplit w:val="true"/>
        </w:trPr>
        <w:tc>
          <w:tcPr>
            <w:tcW w:w="14570" w:type="dxa"/>
            <w:tcBorders/>
          </w:tcPr>
          <w:p>
            <w:pPr>
              <w:pStyle w:val="Normal"/>
              <w:bidi w:val="0"/>
              <w:ind w:hanging="0" w:start="5726" w:end="0"/>
              <w:jc w:val="start"/>
              <w:rPr>
                <w:rFonts w:ascii="Arial" w:hAnsi="Arial"/>
              </w:rPr>
            </w:pPr>
            <w:r>
              <w:rPr>
                <w:rFonts w:ascii="Arial" w:hAnsi="Arial"/>
              </w:rPr>
              <w:t xml:space="preserve">Aldus vastgesteld in de vergadering van </w:t>
            </w:r>
            <w:r>
              <w:rPr>
                <w:rFonts w:ascii="Arial" w:hAnsi="Arial"/>
              </w:rPr>
              <w:t>9 september 2025</w:t>
            </w:r>
          </w:p>
        </w:tc>
      </w:tr>
    </w:tbl>
    <w:p>
      <w:pPr>
        <w:pStyle w:val="Normal"/>
        <w:bidi w:val="0"/>
        <w:jc w:val="start"/>
        <w:rPr>
          <w:rFonts w:ascii="Arial" w:hAnsi="Arial"/>
        </w:rPr>
      </w:pPr>
      <w:r>
        <w:rPr>
          <w:rFonts w:ascii="Arial" w:hAnsi="Arial"/>
        </w:rPr>
      </w:r>
    </w:p>
    <w:sectPr>
      <w:type w:val="continuous"/>
      <w:pgSz w:orient="landscape" w:w="16838" w:h="11906"/>
      <w:pgMar w:left="1134" w:right="1134" w:gutter="0" w:header="0" w:top="1134" w:footer="1134" w:bottom="1647"/>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default"/>
  </w:font>
  <w:font w:name="Liberation Sans">
    <w:altName w:val="Arial"/>
    <w:charset w:val="01" w:characterSet="utf-8"/>
    <w:family w:val="swiss"/>
    <w:pitch w:val="variable"/>
  </w:font>
  <w:font w:name="Arial">
    <w:charset w:val="01" w:characterSet="utf-8"/>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i w:val="false"/>
        <w:i w:val="false"/>
        <w:iCs w:val="false"/>
        <w:color w:val="666666"/>
        <w:sz w:val="20"/>
        <w:szCs w:val="20"/>
      </w:rPr>
    </w:pPr>
    <w:r>
      <w:rPr>
        <w:rFonts w:ascii="Arial" w:hAnsi="Arial"/>
        <w:i w:val="false"/>
        <w:iCs w:val="false"/>
        <w:color w:val="666666"/>
        <w:sz w:val="20"/>
        <w:szCs w:val="20"/>
      </w:rPr>
      <w:t>Besluitenlijst collegevergadering 9 september 2025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432"/>
        </w:tabs>
        <w:ind w:start="432" w:hanging="432"/>
      </w:pPr>
    </w:lvl>
    <w:lvl w:ilvl="1">
      <w:start w:val="1"/>
      <w:pStyle w:val="Heading2"/>
      <w:numFmt w:val="none"/>
      <w:suff w:val="nothing"/>
      <w:lvlText w:val="%2"/>
      <w:lvlJc w:val="start"/>
      <w:pPr>
        <w:tabs>
          <w:tab w:val="num" w:pos="576"/>
        </w:tabs>
        <w:ind w:start="576" w:hanging="576"/>
      </w:pPr>
    </w:lvl>
    <w:lvl w:ilvl="2">
      <w:start w:val="1"/>
      <w:pStyle w:val="Heading3"/>
      <w:numFmt w:val="none"/>
      <w:suff w:val="nothing"/>
      <w:lvlText w:val="%3"/>
      <w:lvlJc w:val="start"/>
      <w:pPr>
        <w:tabs>
          <w:tab w:val="num" w:pos="720"/>
        </w:tabs>
        <w:ind w:start="720" w:hanging="720"/>
      </w:pPr>
    </w:lvl>
    <w:lvl w:ilvl="3">
      <w:start w:val="1"/>
      <w:numFmt w:val="none"/>
      <w:suff w:val="nothing"/>
      <w:lvlText w:val="%4"/>
      <w:lvlJc w:val="start"/>
      <w:pPr>
        <w:tabs>
          <w:tab w:val="num" w:pos="864"/>
        </w:tabs>
        <w:ind w:start="864" w:hanging="864"/>
      </w:pPr>
    </w:lvl>
    <w:lvl w:ilvl="4">
      <w:start w:val="1"/>
      <w:numFmt w:val="none"/>
      <w:suff w:val="nothing"/>
      <w:lvlText w:val="%5"/>
      <w:lvlJc w:val="start"/>
      <w:pPr>
        <w:tabs>
          <w:tab w:val="num" w:pos="1008"/>
        </w:tabs>
        <w:ind w:start="1008" w:hanging="1008"/>
      </w:pPr>
    </w:lvl>
    <w:lvl w:ilvl="5">
      <w:start w:val="1"/>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SimSun" w:cs="Lucida Sans"/>
        <w:kern w:val="2"/>
        <w:szCs w:val="24"/>
        <w:lang w:val="nl-NL"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Arial" w:hAnsi="Arial" w:eastAsia="SimSun" w:cs="Lucida Sans"/>
      <w:color w:val="auto"/>
      <w:kern w:val="2"/>
      <w:sz w:val="20"/>
      <w:szCs w:val="24"/>
      <w:lang w:val="nl-NL"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4">
    <w:name w:val="heading 4"/>
    <w:basedOn w:val="Heading"/>
    <w:next w:val="BodyText"/>
    <w:qFormat/>
    <w:pPr>
      <w:spacing w:before="120" w:after="120"/>
    </w:pPr>
    <w:rPr>
      <w:b/>
      <w:i/>
      <w:sz w:val="27"/>
    </w:rPr>
  </w:style>
  <w:style w:type="paragraph" w:styleId="Heading5">
    <w:name w:val="heading 5"/>
    <w:basedOn w:val="Heading"/>
    <w:next w:val="BodyText"/>
    <w:qFormat/>
    <w:pPr>
      <w:spacing w:before="120" w:after="60"/>
    </w:pPr>
    <w:rPr>
      <w:b/>
      <w:sz w:val="24"/>
    </w:rPr>
  </w:style>
  <w:style w:type="paragraph" w:styleId="Heading6">
    <w:name w:val="heading 6"/>
    <w:basedOn w:val="Heading"/>
    <w:next w:val="BodyText"/>
    <w:qFormat/>
    <w:pPr>
      <w:spacing w:before="60" w:after="60"/>
    </w:pPr>
    <w:rPr>
      <w:b/>
      <w:i/>
      <w:sz w:val="24"/>
    </w:rPr>
  </w:style>
  <w:style w:type="character" w:styleId="DefaultParagraphFont">
    <w:name w:val="Default Paragraph Font"/>
    <w:qFormat/>
    <w:rPr/>
  </w:style>
  <w:style w:type="character" w:styleId="Strong">
    <w:name w:val="Strong"/>
    <w:basedOn w:val="DefaultParagraphFont"/>
    <w:qFormat/>
    <w:rPr>
      <w:rFonts w:cs="Times New Roman"/>
      <w:b/>
    </w:rPr>
  </w:style>
  <w:style w:type="character" w:styleId="Numbering20Symbols">
    <w:name w:val="Numbering_20_Symbols"/>
    <w:qFormat/>
    <w:rPr/>
  </w:style>
  <w:style w:type="character" w:styleId="Bullet20Symbols">
    <w:name w:val="Bullet_20_Symbols"/>
    <w:qFormat/>
    <w:rPr/>
  </w:style>
  <w:style w:type="paragraph" w:styleId="Heading">
    <w:name w:val="Heading"/>
    <w:basedOn w:val="Normal"/>
    <w:next w:val="BodyText"/>
    <w:qFormat/>
    <w:pPr>
      <w:keepNext w:val="true"/>
      <w:spacing w:before="240" w:after="120"/>
    </w:pPr>
    <w:rPr>
      <w:rFonts w:ascii="Liberation Sans" w:hAnsi="Liberation Sans" w:eastAsia="SimSun"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ascii="Arial" w:hAnsi="Arial" w:cs="Lucida Sans"/>
      <w:sz w:val="24"/>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Index">
    <w:name w:val="Index"/>
    <w:basedOn w:val="Normal"/>
    <w:qFormat/>
    <w:pPr>
      <w:suppressLineNumbers/>
    </w:pPr>
    <w:rPr>
      <w:rFonts w:ascii="Arial" w:hAnsi="Arial" w:cs="Lucida Sans"/>
      <w:sz w:val="24"/>
    </w:rPr>
  </w:style>
  <w:style w:type="paragraph" w:styleId="TableContents">
    <w:name w:val="Table Contents"/>
    <w:basedOn w:val="Normal"/>
    <w:qFormat/>
    <w:pPr>
      <w:suppressLineNumbers/>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7285" w:leader="none"/>
        <w:tab w:val="right" w:pos="14570" w:leader="none"/>
      </w:tabs>
    </w:pPr>
    <w:rPr/>
  </w:style>
  <w:style w:type="paragraph" w:styleId="BlockQuotation">
    <w:name w:val="Block Quotation"/>
    <w:basedOn w:val="Normal"/>
    <w:qFormat/>
    <w:pPr>
      <w:spacing w:before="0" w:after="283"/>
      <w:ind w:hanging="0" w:start="567" w:end="567"/>
    </w:pPr>
    <w:r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after="120"/>
      <w:jc w:val="center"/>
    </w:pPr>
    <w:rPr>
      <w:sz w:val="36"/>
      <w:szCs w:val="36"/>
    </w:rPr>
  </w:style>
  <w:style w:type="paragraph" w:styleId="TableHeading">
    <w:name w:val="Table Heading"/>
    <w:basedOn w:val="TableContents"/>
    <w:qFormat/>
    <w:pPr>
      <w:suppressLineNumbers/>
      <w:jc w:val="center"/>
    </w:pPr>
    <w:rPr>
      <w:b/>
      <w:bCs/>
    </w:rPr>
  </w:style>
  <w:style w:type="paragraph" w:styleId="Table">
    <w:name w:val="Table"/>
    <w:basedOn w:val="BodyText"/>
    <w:qFormat/>
    <w:pPr>
      <w:keepLines/>
      <w:spacing w:before="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245</TotalTime>
  <Application>LibreOffice/25.2.3.2$Linux_X86_64 LibreOffice_project/520$Build-2</Application>
  <AppVersion>15.0000</AppVersion>
  <Pages>1</Pages>
  <Words>42</Words>
  <Characters>590</Characters>
  <CharactersWithSpaces>611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2015-03-15T22:49:55Z</dcterms:created>
  <dc:creator/>
  <dc:description/>
  <dc:language>en-US</dc:language>
  <cp:lastModifiedBy/>
  <dcterms:modified xsi:type="dcterms:W3CDTF">2024-02-09T11:57:38Z</dcterms:modified>
  <cp:revision>53</cp:revision>
  <dc:subject/>
  <dc:title/>
</cp:coreProperties>
</file>